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AC0505"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FORMULAN LA COMISIONADA</w:t>
      </w:r>
      <w:r w:rsidR="00A36DBB">
        <w:rPr>
          <w:rFonts w:ascii="Palatino Linotype" w:hAnsi="Palatino Linotype"/>
          <w:b/>
          <w:sz w:val="24"/>
          <w:szCs w:val="24"/>
        </w:rPr>
        <w:t xml:space="preserve"> PRESIDENTA</w:t>
      </w:r>
      <w:r w:rsidRPr="00563D0F">
        <w:rPr>
          <w:rFonts w:ascii="Palatino Linotype" w:hAnsi="Palatino Linotype"/>
          <w:b/>
          <w:sz w:val="24"/>
          <w:szCs w:val="24"/>
        </w:rPr>
        <w:t xml:space="preserve"> 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sidR="003135DD">
        <w:rPr>
          <w:rFonts w:ascii="Palatino Linotype" w:hAnsi="Palatino Linotype"/>
          <w:b/>
          <w:sz w:val="24"/>
          <w:szCs w:val="24"/>
        </w:rPr>
        <w:t>TRIGÉSIMA PRIMERA</w:t>
      </w:r>
      <w:r>
        <w:rPr>
          <w:rFonts w:ascii="Palatino Linotype" w:hAnsi="Palatino Linotype"/>
          <w:b/>
          <w:sz w:val="24"/>
          <w:szCs w:val="24"/>
        </w:rPr>
        <w:t xml:space="preserve">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sidR="003135DD">
        <w:rPr>
          <w:rFonts w:ascii="Palatino Linotype" w:hAnsi="Palatino Linotype"/>
          <w:b/>
          <w:sz w:val="24"/>
          <w:szCs w:val="24"/>
        </w:rPr>
        <w:t>VEINTINUEVE DE AGOSTO</w:t>
      </w:r>
      <w:r>
        <w:rPr>
          <w:rFonts w:ascii="Palatino Linotype" w:hAnsi="Palatino Linotype"/>
          <w:b/>
          <w:sz w:val="24"/>
          <w:szCs w:val="24"/>
        </w:rPr>
        <w:t xml:space="preserve"> D</w:t>
      </w:r>
      <w:r w:rsidRPr="00563D0F">
        <w:rPr>
          <w:rFonts w:ascii="Palatino Linotype" w:hAnsi="Palatino Linotype"/>
          <w:b/>
          <w:sz w:val="24"/>
          <w:szCs w:val="24"/>
        </w:rPr>
        <w:t xml:space="preserve">E DOS MIL </w:t>
      </w:r>
      <w:r>
        <w:rPr>
          <w:rFonts w:ascii="Palatino Linotype" w:hAnsi="Palatino Linotype"/>
          <w:b/>
          <w:sz w:val="24"/>
          <w:szCs w:val="24"/>
        </w:rPr>
        <w:t>DIECI</w:t>
      </w:r>
      <w:r w:rsidR="00A36DBB">
        <w:rPr>
          <w:rFonts w:ascii="Palatino Linotype" w:hAnsi="Palatino Linotype"/>
          <w:b/>
          <w:sz w:val="24"/>
          <w:szCs w:val="24"/>
        </w:rPr>
        <w:t>OCHO</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Pr>
          <w:rFonts w:ascii="Palatino Linotype" w:hAnsi="Palatino Linotype"/>
          <w:b/>
          <w:sz w:val="24"/>
          <w:szCs w:val="24"/>
        </w:rPr>
        <w:t>0</w:t>
      </w:r>
      <w:r w:rsidR="003135DD">
        <w:rPr>
          <w:rFonts w:ascii="Palatino Linotype" w:hAnsi="Palatino Linotype"/>
          <w:b/>
          <w:sz w:val="24"/>
          <w:szCs w:val="24"/>
        </w:rPr>
        <w:t>2607</w:t>
      </w:r>
      <w:r w:rsidR="00D90C80">
        <w:rPr>
          <w:rFonts w:ascii="Palatino Linotype" w:hAnsi="Palatino Linotype"/>
          <w:b/>
          <w:sz w:val="24"/>
          <w:szCs w:val="24"/>
        </w:rPr>
        <w:t>/INFOEM/IP/RR/2018</w:t>
      </w:r>
      <w:r>
        <w:rPr>
          <w:rFonts w:ascii="Palatino Linotype" w:hAnsi="Palatino Linotype"/>
          <w:b/>
          <w:sz w:val="24"/>
          <w:szCs w:val="24"/>
        </w:rPr>
        <w:t>.</w:t>
      </w:r>
    </w:p>
    <w:p w:rsidR="00AC0505" w:rsidRPr="00563D0F" w:rsidRDefault="00AC0505" w:rsidP="00AC0505">
      <w:pPr>
        <w:spacing w:after="0" w:line="360" w:lineRule="auto"/>
        <w:jc w:val="both"/>
        <w:rPr>
          <w:rFonts w:ascii="Palatino Linotype" w:hAnsi="Palatino Linotype"/>
          <w:b/>
          <w:sz w:val="24"/>
          <w:szCs w:val="24"/>
        </w:rPr>
      </w:pPr>
    </w:p>
    <w:p w:rsidR="00AC0505" w:rsidRPr="00D2657A" w:rsidRDefault="00AC0505" w:rsidP="00AC0505">
      <w:pPr>
        <w:spacing w:after="0" w:line="360" w:lineRule="auto"/>
        <w:jc w:val="both"/>
        <w:rPr>
          <w:rFonts w:ascii="Palatino Linotype" w:hAnsi="Palatino Linotype"/>
          <w:sz w:val="24"/>
          <w:szCs w:val="24"/>
        </w:rPr>
      </w:pPr>
      <w:r w:rsidRPr="00D2657A">
        <w:rPr>
          <w:rFonts w:ascii="Palatino Linotype" w:hAnsi="Palatino Linotype"/>
          <w:sz w:val="24"/>
          <w:szCs w:val="24"/>
        </w:rPr>
        <w:t xml:space="preserve">Con fundamento en lo dispuesto por el artículo 14 fracción XI del Reglamento Interior del Instituto de Transparencia, Acceso a la Información Pública y Protección </w:t>
      </w:r>
      <w:proofErr w:type="gramStart"/>
      <w:r w:rsidRPr="00D2657A">
        <w:rPr>
          <w:rFonts w:ascii="Palatino Linotype" w:hAnsi="Palatino Linotype"/>
          <w:sz w:val="24"/>
          <w:szCs w:val="24"/>
        </w:rPr>
        <w:t>de</w:t>
      </w:r>
      <w:proofErr w:type="gramEnd"/>
      <w:r w:rsidRPr="00D2657A">
        <w:rPr>
          <w:rFonts w:ascii="Palatino Linotype" w:hAnsi="Palatino Linotype"/>
          <w:sz w:val="24"/>
          <w:szCs w:val="24"/>
        </w:rPr>
        <w:t xml:space="preserve"> Datos Personales del </w:t>
      </w:r>
      <w:r w:rsidR="005A0F44" w:rsidRPr="00D2657A">
        <w:rPr>
          <w:rFonts w:ascii="Palatino Linotype" w:hAnsi="Palatino Linotype"/>
          <w:sz w:val="24"/>
          <w:szCs w:val="24"/>
        </w:rPr>
        <w:t xml:space="preserve">Estado de México y Municipios, la </w:t>
      </w:r>
      <w:r w:rsidRPr="00D2657A">
        <w:rPr>
          <w:rFonts w:ascii="Palatino Linotype" w:hAnsi="Palatino Linotype"/>
          <w:sz w:val="24"/>
          <w:szCs w:val="24"/>
        </w:rPr>
        <w:t>que suscribe Comisionada</w:t>
      </w:r>
      <w:r w:rsidR="005A0F44" w:rsidRPr="00D2657A">
        <w:rPr>
          <w:rFonts w:ascii="Palatino Linotype" w:hAnsi="Palatino Linotype"/>
          <w:sz w:val="24"/>
          <w:szCs w:val="24"/>
        </w:rPr>
        <w:t xml:space="preserve"> Presidenta </w:t>
      </w:r>
      <w:r w:rsidRPr="00D2657A">
        <w:rPr>
          <w:rFonts w:ascii="Palatino Linotype" w:hAnsi="Palatino Linotype"/>
          <w:sz w:val="24"/>
          <w:szCs w:val="24"/>
        </w:rPr>
        <w:t>Zulema Martínez Sánchez  emiti</w:t>
      </w:r>
      <w:r w:rsidR="005A0F44" w:rsidRPr="00D2657A">
        <w:rPr>
          <w:rFonts w:ascii="Palatino Linotype" w:hAnsi="Palatino Linotype"/>
          <w:sz w:val="24"/>
          <w:szCs w:val="24"/>
        </w:rPr>
        <w:t xml:space="preserve">endo VOTO PARTICULAR </w:t>
      </w:r>
      <w:r w:rsidRPr="00D2657A">
        <w:rPr>
          <w:rFonts w:ascii="Palatino Linotype" w:hAnsi="Palatino Linotype"/>
          <w:sz w:val="24"/>
          <w:szCs w:val="24"/>
        </w:rPr>
        <w:t>respecto a la resolución dictada en el recurso de revisión número 0</w:t>
      </w:r>
      <w:r w:rsidR="003135DD">
        <w:rPr>
          <w:rFonts w:ascii="Palatino Linotype" w:hAnsi="Palatino Linotype"/>
          <w:sz w:val="24"/>
          <w:szCs w:val="24"/>
        </w:rPr>
        <w:t>2607</w:t>
      </w:r>
      <w:r w:rsidRPr="00D2657A">
        <w:rPr>
          <w:rFonts w:ascii="Palatino Linotype" w:hAnsi="Palatino Linotype"/>
          <w:sz w:val="24"/>
          <w:szCs w:val="24"/>
        </w:rPr>
        <w:t>/INFOEM/IP/RR/201</w:t>
      </w:r>
      <w:r w:rsidR="00D90C80" w:rsidRPr="00D2657A">
        <w:rPr>
          <w:rFonts w:ascii="Palatino Linotype" w:hAnsi="Palatino Linotype"/>
          <w:sz w:val="24"/>
          <w:szCs w:val="24"/>
        </w:rPr>
        <w:t>8</w:t>
      </w:r>
      <w:r w:rsidRPr="00D2657A">
        <w:rPr>
          <w:rFonts w:ascii="Palatino Linotype" w:hAnsi="Palatino Linotype"/>
          <w:sz w:val="24"/>
          <w:szCs w:val="24"/>
        </w:rPr>
        <w:t xml:space="preserve">, pronunciada por el Pleno de este Instituto ante el proyecto presentado por la Comisionada </w:t>
      </w:r>
      <w:r w:rsidR="005A0F44" w:rsidRPr="00D2657A">
        <w:rPr>
          <w:rFonts w:ascii="Palatino Linotype" w:hAnsi="Palatino Linotype"/>
          <w:sz w:val="24"/>
          <w:szCs w:val="24"/>
        </w:rPr>
        <w:t xml:space="preserve">Eva </w:t>
      </w:r>
      <w:proofErr w:type="spellStart"/>
      <w:r w:rsidR="005A0F44" w:rsidRPr="00D2657A">
        <w:rPr>
          <w:rFonts w:ascii="Palatino Linotype" w:hAnsi="Palatino Linotype"/>
          <w:sz w:val="24"/>
          <w:szCs w:val="24"/>
        </w:rPr>
        <w:t>Abaid</w:t>
      </w:r>
      <w:proofErr w:type="spellEnd"/>
      <w:r w:rsidR="005A0F44" w:rsidRPr="00D2657A">
        <w:rPr>
          <w:rFonts w:ascii="Palatino Linotype" w:hAnsi="Palatino Linotype"/>
          <w:sz w:val="24"/>
          <w:szCs w:val="24"/>
        </w:rPr>
        <w:t xml:space="preserve"> </w:t>
      </w:r>
      <w:proofErr w:type="spellStart"/>
      <w:r w:rsidR="005A0F44" w:rsidRPr="00D2657A">
        <w:rPr>
          <w:rFonts w:ascii="Palatino Linotype" w:hAnsi="Palatino Linotype"/>
          <w:sz w:val="24"/>
          <w:szCs w:val="24"/>
        </w:rPr>
        <w:t>Yapur</w:t>
      </w:r>
      <w:proofErr w:type="spellEnd"/>
      <w:r w:rsidRPr="00D2657A">
        <w:rPr>
          <w:rFonts w:ascii="Palatino Linotype" w:hAnsi="Palatino Linotype"/>
          <w:sz w:val="24"/>
          <w:szCs w:val="24"/>
        </w:rPr>
        <w:t xml:space="preserve">, que es del tenor siguiente: </w:t>
      </w:r>
    </w:p>
    <w:p w:rsidR="00AC0505" w:rsidRPr="00D2657A" w:rsidRDefault="00AC0505" w:rsidP="00AC0505">
      <w:pPr>
        <w:spacing w:after="0" w:line="360" w:lineRule="auto"/>
        <w:jc w:val="both"/>
        <w:rPr>
          <w:rFonts w:ascii="Palatino Linotype" w:hAnsi="Palatino Linotype"/>
          <w:sz w:val="24"/>
          <w:szCs w:val="24"/>
        </w:rPr>
      </w:pPr>
    </w:p>
    <w:p w:rsidR="00A84700" w:rsidRPr="00D2657A" w:rsidRDefault="00AC0505" w:rsidP="00A84700">
      <w:pPr>
        <w:spacing w:after="0" w:line="360" w:lineRule="auto"/>
        <w:jc w:val="both"/>
        <w:rPr>
          <w:rFonts w:ascii="Palatino Linotype" w:hAnsi="Palatino Linotype"/>
          <w:sz w:val="24"/>
          <w:szCs w:val="24"/>
        </w:rPr>
      </w:pPr>
      <w:r w:rsidRPr="00D2657A">
        <w:rPr>
          <w:rFonts w:ascii="Palatino Linotype" w:hAnsi="Palatino Linotype"/>
          <w:sz w:val="24"/>
          <w:szCs w:val="24"/>
        </w:rPr>
        <w:t>L</w:t>
      </w:r>
      <w:r w:rsidR="005A0F44" w:rsidRPr="00D2657A">
        <w:rPr>
          <w:rFonts w:ascii="Palatino Linotype" w:hAnsi="Palatino Linotype"/>
          <w:sz w:val="24"/>
          <w:szCs w:val="24"/>
        </w:rPr>
        <w:t>a</w:t>
      </w:r>
      <w:r w:rsidRPr="00D2657A">
        <w:rPr>
          <w:rFonts w:ascii="Palatino Linotype" w:hAnsi="Palatino Linotype"/>
          <w:sz w:val="24"/>
          <w:szCs w:val="24"/>
        </w:rPr>
        <w:t xml:space="preserve"> suscrit</w:t>
      </w:r>
      <w:r w:rsidR="005A0F44" w:rsidRPr="00D2657A">
        <w:rPr>
          <w:rFonts w:ascii="Palatino Linotype" w:hAnsi="Palatino Linotype"/>
          <w:sz w:val="24"/>
          <w:szCs w:val="24"/>
        </w:rPr>
        <w:t>a</w:t>
      </w:r>
      <w:r w:rsidRPr="00D2657A">
        <w:rPr>
          <w:rFonts w:ascii="Palatino Linotype" w:hAnsi="Palatino Linotype"/>
          <w:sz w:val="24"/>
          <w:szCs w:val="24"/>
        </w:rPr>
        <w:t xml:space="preserve"> </w:t>
      </w:r>
      <w:r w:rsidR="00A84700" w:rsidRPr="00D2657A">
        <w:rPr>
          <w:rFonts w:ascii="Palatino Linotype" w:hAnsi="Palatino Linotype"/>
          <w:sz w:val="24"/>
          <w:szCs w:val="24"/>
        </w:rPr>
        <w:t xml:space="preserve">comparte el sentido de la resolución, no obstante </w:t>
      </w:r>
      <w:r w:rsidR="00D2657A" w:rsidRPr="00D2657A">
        <w:rPr>
          <w:rFonts w:ascii="Palatino Linotype" w:hAnsi="Palatino Linotype"/>
          <w:sz w:val="24"/>
          <w:szCs w:val="24"/>
        </w:rPr>
        <w:t>discierne</w:t>
      </w:r>
      <w:r w:rsidR="00D90C80" w:rsidRPr="00D2657A">
        <w:rPr>
          <w:rFonts w:ascii="Palatino Linotype" w:hAnsi="Palatino Linotype"/>
          <w:sz w:val="24"/>
          <w:szCs w:val="24"/>
        </w:rPr>
        <w:t xml:space="preserve"> únicamente </w:t>
      </w:r>
      <w:r w:rsidR="003135DD">
        <w:rPr>
          <w:rFonts w:ascii="Palatino Linotype" w:hAnsi="Palatino Linotype"/>
          <w:sz w:val="24"/>
          <w:szCs w:val="24"/>
        </w:rPr>
        <w:t>respecto a que se debió dejar una salvedad en cuanto a la información que se ordenó su entrega</w:t>
      </w:r>
      <w:r w:rsidR="00D2657A" w:rsidRPr="00D2657A">
        <w:rPr>
          <w:rFonts w:ascii="Palatino Linotype" w:hAnsi="Palatino Linotype"/>
          <w:sz w:val="24"/>
          <w:szCs w:val="24"/>
        </w:rPr>
        <w:t>.</w:t>
      </w:r>
    </w:p>
    <w:p w:rsidR="00D2657A" w:rsidRPr="00D2657A" w:rsidRDefault="00D2657A" w:rsidP="00A84700">
      <w:pPr>
        <w:spacing w:after="0" w:line="360" w:lineRule="auto"/>
        <w:jc w:val="both"/>
        <w:rPr>
          <w:rFonts w:ascii="Palatino Linotype" w:hAnsi="Palatino Linotype"/>
          <w:sz w:val="24"/>
          <w:szCs w:val="24"/>
        </w:rPr>
      </w:pPr>
    </w:p>
    <w:p w:rsidR="00B007B7" w:rsidRDefault="00D2657A" w:rsidP="003135DD">
      <w:pPr>
        <w:spacing w:after="0" w:line="360" w:lineRule="auto"/>
        <w:jc w:val="both"/>
        <w:rPr>
          <w:rFonts w:ascii="Palatino Linotype" w:hAnsi="Palatino Linotype"/>
          <w:sz w:val="24"/>
          <w:szCs w:val="24"/>
        </w:rPr>
      </w:pPr>
      <w:r w:rsidRPr="00D2657A">
        <w:rPr>
          <w:rFonts w:ascii="Palatino Linotype" w:hAnsi="Palatino Linotype"/>
          <w:sz w:val="24"/>
          <w:szCs w:val="24"/>
        </w:rPr>
        <w:t xml:space="preserve">Al respecto es necesario mencionar que </w:t>
      </w:r>
      <w:r w:rsidR="003135DD">
        <w:rPr>
          <w:rFonts w:ascii="Palatino Linotype" w:hAnsi="Palatino Linotype"/>
          <w:sz w:val="24"/>
          <w:szCs w:val="24"/>
        </w:rPr>
        <w:t xml:space="preserve">la información solicitada versa en obtener </w:t>
      </w:r>
      <w:r w:rsidR="003135DD" w:rsidRPr="003135DD">
        <w:rPr>
          <w:rFonts w:ascii="Palatino Linotype" w:hAnsi="Palatino Linotype"/>
          <w:sz w:val="24"/>
          <w:szCs w:val="24"/>
        </w:rPr>
        <w:t>los contratos digitaliza</w:t>
      </w:r>
      <w:r w:rsidR="003135DD">
        <w:rPr>
          <w:rFonts w:ascii="Palatino Linotype" w:hAnsi="Palatino Linotype"/>
          <w:sz w:val="24"/>
          <w:szCs w:val="24"/>
        </w:rPr>
        <w:t>d</w:t>
      </w:r>
      <w:r w:rsidR="003135DD" w:rsidRPr="003135DD">
        <w:rPr>
          <w:rFonts w:ascii="Palatino Linotype" w:hAnsi="Palatino Linotype"/>
          <w:sz w:val="24"/>
          <w:szCs w:val="24"/>
        </w:rPr>
        <w:t>os que se tengan con la</w:t>
      </w:r>
      <w:r w:rsidR="003135DD">
        <w:rPr>
          <w:rFonts w:ascii="Palatino Linotype" w:hAnsi="Palatino Linotype"/>
          <w:sz w:val="24"/>
          <w:szCs w:val="24"/>
        </w:rPr>
        <w:t xml:space="preserve"> empresa</w:t>
      </w:r>
      <w:r w:rsidR="003135DD" w:rsidRPr="003135DD">
        <w:rPr>
          <w:rFonts w:ascii="Palatino Linotype" w:hAnsi="Palatino Linotype"/>
          <w:sz w:val="24"/>
          <w:szCs w:val="24"/>
        </w:rPr>
        <w:t xml:space="preserve"> Editorial Flumen S.A de C.V de </w:t>
      </w:r>
      <w:r w:rsidR="003135DD" w:rsidRPr="003135DD">
        <w:rPr>
          <w:rFonts w:ascii="Palatino Linotype" w:hAnsi="Palatino Linotype"/>
          <w:sz w:val="24"/>
          <w:szCs w:val="24"/>
        </w:rPr>
        <w:lastRenderedPageBreak/>
        <w:t>4 años a la fecha</w:t>
      </w:r>
      <w:r w:rsidR="003135DD">
        <w:rPr>
          <w:rFonts w:ascii="Palatino Linotype" w:hAnsi="Palatino Linotype"/>
          <w:sz w:val="24"/>
          <w:szCs w:val="24"/>
        </w:rPr>
        <w:t xml:space="preserve">, adjuntando la captura de pantalla de un contrato de fecha ocho de diciembre de dos mil dieciocho, </w:t>
      </w:r>
      <w:r w:rsidR="00B75113">
        <w:rPr>
          <w:rFonts w:ascii="Palatino Linotype" w:hAnsi="Palatino Linotype"/>
          <w:sz w:val="24"/>
          <w:szCs w:val="24"/>
        </w:rPr>
        <w:t>contrato que se llevó a cabo entre el Sujeto Obligado y la empresa citada.</w:t>
      </w:r>
    </w:p>
    <w:p w:rsidR="00B75113" w:rsidRDefault="00B75113" w:rsidP="003135DD">
      <w:pPr>
        <w:spacing w:after="0" w:line="360" w:lineRule="auto"/>
        <w:jc w:val="both"/>
        <w:rPr>
          <w:rFonts w:ascii="Palatino Linotype" w:hAnsi="Palatino Linotype"/>
          <w:sz w:val="24"/>
          <w:szCs w:val="24"/>
        </w:rPr>
      </w:pPr>
    </w:p>
    <w:p w:rsidR="00B75113" w:rsidRDefault="00B75113" w:rsidP="003135DD">
      <w:pPr>
        <w:spacing w:after="0" w:line="360" w:lineRule="auto"/>
        <w:jc w:val="both"/>
        <w:rPr>
          <w:rFonts w:ascii="Palatino Linotype" w:hAnsi="Palatino Linotype"/>
          <w:sz w:val="24"/>
          <w:szCs w:val="24"/>
        </w:rPr>
      </w:pPr>
      <w:r>
        <w:rPr>
          <w:rFonts w:ascii="Palatino Linotype" w:hAnsi="Palatino Linotype"/>
          <w:sz w:val="24"/>
          <w:szCs w:val="24"/>
        </w:rPr>
        <w:t>En respuesta el Sujeto Obligado a través de la Dirección General de Servicios Administrativos a través de la Subdirección de recursos materiales, menciona que no se han celebrado contratos con la empresa mencionada, por el tiempo solicitado.</w:t>
      </w:r>
    </w:p>
    <w:p w:rsidR="00B75113" w:rsidRDefault="00B75113" w:rsidP="003135DD">
      <w:pPr>
        <w:spacing w:after="0" w:line="360" w:lineRule="auto"/>
        <w:jc w:val="both"/>
        <w:rPr>
          <w:rFonts w:ascii="Palatino Linotype" w:hAnsi="Palatino Linotype"/>
          <w:sz w:val="24"/>
          <w:szCs w:val="24"/>
        </w:rPr>
      </w:pPr>
    </w:p>
    <w:p w:rsidR="00B75113" w:rsidRDefault="00B75113" w:rsidP="003135DD">
      <w:pPr>
        <w:spacing w:after="0" w:line="360" w:lineRule="auto"/>
        <w:jc w:val="both"/>
        <w:rPr>
          <w:rFonts w:ascii="Palatino Linotype" w:hAnsi="Palatino Linotype"/>
          <w:sz w:val="24"/>
          <w:szCs w:val="24"/>
        </w:rPr>
      </w:pPr>
      <w:r>
        <w:rPr>
          <w:rFonts w:ascii="Palatino Linotype" w:hAnsi="Palatino Linotype"/>
          <w:sz w:val="24"/>
          <w:szCs w:val="24"/>
        </w:rPr>
        <w:t>En este tenor el Recurrente interpone recurso de revisión en donde vuelve a manifestar que si existe información al respecto puesto que se adjuntaron las documentales que comprueban que en efecto si se llevó a cabo el contrato.</w:t>
      </w:r>
    </w:p>
    <w:p w:rsidR="00B75113" w:rsidRDefault="00B75113" w:rsidP="003135DD">
      <w:pPr>
        <w:spacing w:after="0" w:line="360" w:lineRule="auto"/>
        <w:jc w:val="both"/>
        <w:rPr>
          <w:rFonts w:ascii="Palatino Linotype" w:hAnsi="Palatino Linotype"/>
          <w:sz w:val="24"/>
          <w:szCs w:val="24"/>
        </w:rPr>
      </w:pPr>
    </w:p>
    <w:p w:rsidR="00B75113" w:rsidRPr="003135DD" w:rsidRDefault="00B75113" w:rsidP="003135DD">
      <w:pPr>
        <w:spacing w:after="0" w:line="360" w:lineRule="auto"/>
        <w:jc w:val="both"/>
        <w:rPr>
          <w:rFonts w:ascii="Palatino Linotype" w:hAnsi="Palatino Linotype"/>
          <w:sz w:val="24"/>
          <w:szCs w:val="24"/>
        </w:rPr>
      </w:pPr>
      <w:r>
        <w:rPr>
          <w:rFonts w:ascii="Palatino Linotype" w:hAnsi="Palatino Linotype"/>
          <w:sz w:val="24"/>
          <w:szCs w:val="24"/>
        </w:rPr>
        <w:t xml:space="preserve">Posteriormente en </w:t>
      </w:r>
      <w:r w:rsidRPr="00B75113">
        <w:rPr>
          <w:rFonts w:ascii="Palatino Linotype" w:hAnsi="Palatino Linotype"/>
          <w:sz w:val="24"/>
          <w:szCs w:val="24"/>
        </w:rPr>
        <w:t xml:space="preserve">informe justificado el Sujeto Obligado remitió cuatro contratos con dicha empresa con fechas del </w:t>
      </w:r>
      <w:r w:rsidRPr="00B75113">
        <w:rPr>
          <w:rFonts w:ascii="Palatino Linotype" w:hAnsi="Palatino Linotype" w:cs="Arial"/>
          <w:color w:val="000000" w:themeColor="text1"/>
          <w:sz w:val="24"/>
          <w:szCs w:val="24"/>
        </w:rPr>
        <w:t>3 de abril, 15 de septiembre, 23 de octubre y 8 de diciembre, todos correspondientes al año 2017.</w:t>
      </w:r>
    </w:p>
    <w:p w:rsidR="007379EC" w:rsidRDefault="007379EC" w:rsidP="00AC0505">
      <w:pPr>
        <w:spacing w:after="0" w:line="360" w:lineRule="auto"/>
        <w:jc w:val="both"/>
        <w:rPr>
          <w:rFonts w:ascii="Palatino Linotype" w:hAnsi="Palatino Linotype"/>
          <w:sz w:val="24"/>
          <w:szCs w:val="24"/>
        </w:rPr>
      </w:pPr>
    </w:p>
    <w:p w:rsidR="00B75113" w:rsidRDefault="00B75113" w:rsidP="00AC0505">
      <w:pPr>
        <w:spacing w:after="0" w:line="360" w:lineRule="auto"/>
        <w:jc w:val="both"/>
        <w:rPr>
          <w:rFonts w:ascii="Palatino Linotype" w:hAnsi="Palatino Linotype"/>
          <w:sz w:val="24"/>
          <w:szCs w:val="24"/>
        </w:rPr>
      </w:pPr>
      <w:r>
        <w:rPr>
          <w:rFonts w:ascii="Palatino Linotype" w:hAnsi="Palatino Linotype"/>
          <w:sz w:val="24"/>
          <w:szCs w:val="24"/>
        </w:rPr>
        <w:t xml:space="preserve">Es de considerar que si se comparte la forma en que la ponencia </w:t>
      </w:r>
      <w:proofErr w:type="spellStart"/>
      <w:r>
        <w:rPr>
          <w:rFonts w:ascii="Palatino Linotype" w:hAnsi="Palatino Linotype"/>
          <w:sz w:val="24"/>
          <w:szCs w:val="24"/>
        </w:rPr>
        <w:t>resolutora</w:t>
      </w:r>
      <w:proofErr w:type="spellEnd"/>
      <w:r>
        <w:rPr>
          <w:rFonts w:ascii="Palatino Linotype" w:hAnsi="Palatino Linotype"/>
          <w:sz w:val="24"/>
          <w:szCs w:val="24"/>
        </w:rPr>
        <w:t xml:space="preserve">, determino los resolutivos, sin embargo se </w:t>
      </w:r>
      <w:r w:rsidR="00B67F53">
        <w:rPr>
          <w:rFonts w:ascii="Palatino Linotype" w:hAnsi="Palatino Linotype"/>
          <w:sz w:val="24"/>
          <w:szCs w:val="24"/>
        </w:rPr>
        <w:t>debió</w:t>
      </w:r>
      <w:r>
        <w:rPr>
          <w:rFonts w:ascii="Palatino Linotype" w:hAnsi="Palatino Linotype"/>
          <w:sz w:val="24"/>
          <w:szCs w:val="24"/>
        </w:rPr>
        <w:t xml:space="preserve"> dejar una salvedad en la que se establezca que en caso de que no se hubiesen llevado a cabo contratos en los otros años, hacerlo del conocimiento del Recurrente, pues con lo establecido en resolutivos, se condena al Sujeto Obligado a entregar los contratos que se llevaron a cabo</w:t>
      </w:r>
      <w:r w:rsidR="00B67F53">
        <w:rPr>
          <w:rFonts w:ascii="Palatino Linotype" w:hAnsi="Palatino Linotype"/>
          <w:sz w:val="24"/>
          <w:szCs w:val="24"/>
        </w:rPr>
        <w:t xml:space="preserve"> por todo el periodo </w:t>
      </w:r>
      <w:r w:rsidR="00B67F53">
        <w:rPr>
          <w:rFonts w:ascii="Palatino Linotype" w:hAnsi="Palatino Linotype"/>
          <w:sz w:val="24"/>
          <w:szCs w:val="24"/>
        </w:rPr>
        <w:lastRenderedPageBreak/>
        <w:t>solicitado, se dejar de observar que no existe la certeza de que pudo o no haberse generado contratos en los años anteriores.</w:t>
      </w:r>
    </w:p>
    <w:p w:rsidR="00B67F53" w:rsidRDefault="00B67F53" w:rsidP="00AC0505">
      <w:pPr>
        <w:spacing w:after="0" w:line="360" w:lineRule="auto"/>
        <w:jc w:val="both"/>
        <w:rPr>
          <w:rFonts w:ascii="Palatino Linotype" w:hAnsi="Palatino Linotype"/>
          <w:sz w:val="24"/>
          <w:szCs w:val="24"/>
        </w:rPr>
      </w:pPr>
    </w:p>
    <w:p w:rsidR="00B75113" w:rsidRDefault="00B75113" w:rsidP="00AC0505">
      <w:pPr>
        <w:spacing w:after="0" w:line="360" w:lineRule="auto"/>
        <w:jc w:val="both"/>
        <w:rPr>
          <w:rFonts w:ascii="Palatino Linotype" w:hAnsi="Palatino Linotype"/>
          <w:sz w:val="24"/>
          <w:szCs w:val="24"/>
        </w:rPr>
      </w:pPr>
      <w:r>
        <w:rPr>
          <w:rFonts w:ascii="Palatino Linotype" w:hAnsi="Palatino Linotype"/>
          <w:sz w:val="24"/>
          <w:szCs w:val="24"/>
        </w:rPr>
        <w:t>Sin embargo el Sujeto Obligado no realizo pronunciamiento alguno para referir si efectivamente se llevaron a cabo dichos contratos, de no ser así como habrá de hacerlo del conocimiento del Recurrente.</w:t>
      </w:r>
    </w:p>
    <w:p w:rsidR="00B75113" w:rsidRDefault="00B75113" w:rsidP="00AC0505">
      <w:pPr>
        <w:spacing w:after="0" w:line="360" w:lineRule="auto"/>
        <w:jc w:val="both"/>
        <w:rPr>
          <w:rFonts w:ascii="Palatino Linotype" w:hAnsi="Palatino Linotype"/>
          <w:sz w:val="24"/>
          <w:szCs w:val="24"/>
        </w:rPr>
      </w:pPr>
    </w:p>
    <w:p w:rsidR="00642404" w:rsidRPr="00642404" w:rsidRDefault="00642404" w:rsidP="00642404">
      <w:pPr>
        <w:spacing w:after="0" w:line="360" w:lineRule="auto"/>
        <w:jc w:val="both"/>
        <w:rPr>
          <w:rFonts w:ascii="Palatino Linotype" w:hAnsi="Palatino Linotype" w:cs="Arial"/>
          <w:sz w:val="24"/>
          <w:szCs w:val="24"/>
        </w:rPr>
      </w:pPr>
      <w:r>
        <w:rPr>
          <w:rFonts w:ascii="Palatino Linotype" w:hAnsi="Palatino Linotype"/>
          <w:sz w:val="24"/>
          <w:szCs w:val="24"/>
        </w:rPr>
        <w:t xml:space="preserve">Ahora bien, es claro que la información fue solicitada por el periodo del veinte junio de dos mil catorce a la fecha de solicitud, es decir al veinte junio de dos mil dieciocho, pero en el caso de que en los años dos mil catorce, dos mil quince y dos mil dieciséis, no se haya llevado a cabo </w:t>
      </w:r>
      <w:r w:rsidRPr="00642404">
        <w:rPr>
          <w:rFonts w:ascii="Palatino Linotype" w:hAnsi="Palatino Linotype"/>
          <w:sz w:val="24"/>
          <w:szCs w:val="24"/>
        </w:rPr>
        <w:t xml:space="preserve">contratos con la empresa mencionada, estaríamos hablando de un hecho negativo, ya que </w:t>
      </w:r>
      <w:r w:rsidRPr="00642404">
        <w:rPr>
          <w:rFonts w:ascii="Palatino Linotype" w:hAnsi="Palatino Linotype" w:cs="Arial"/>
          <w:sz w:val="24"/>
          <w:szCs w:val="24"/>
        </w:rPr>
        <w:t>no se trata de un caso por el cual la negación del hecho implique la afirmación del mismo.</w:t>
      </w:r>
    </w:p>
    <w:p w:rsidR="00642404" w:rsidRPr="00642404" w:rsidRDefault="00642404" w:rsidP="00642404">
      <w:pPr>
        <w:autoSpaceDE w:val="0"/>
        <w:autoSpaceDN w:val="0"/>
        <w:adjustRightInd w:val="0"/>
        <w:spacing w:line="360" w:lineRule="auto"/>
        <w:ind w:right="18"/>
        <w:jc w:val="both"/>
        <w:rPr>
          <w:rFonts w:ascii="Palatino Linotype" w:hAnsi="Palatino Linotype" w:cs="Arial"/>
          <w:sz w:val="24"/>
          <w:szCs w:val="24"/>
        </w:rPr>
      </w:pPr>
    </w:p>
    <w:p w:rsidR="00642404" w:rsidRPr="00642404" w:rsidRDefault="00642404" w:rsidP="00642404">
      <w:pPr>
        <w:autoSpaceDE w:val="0"/>
        <w:autoSpaceDN w:val="0"/>
        <w:adjustRightInd w:val="0"/>
        <w:spacing w:line="360" w:lineRule="auto"/>
        <w:ind w:right="18"/>
        <w:jc w:val="both"/>
        <w:rPr>
          <w:rFonts w:ascii="Palatino Linotype" w:hAnsi="Palatino Linotype" w:cs="Arial"/>
          <w:sz w:val="24"/>
          <w:szCs w:val="24"/>
        </w:rPr>
      </w:pPr>
      <w:r w:rsidRPr="00642404">
        <w:rPr>
          <w:rFonts w:ascii="Palatino Linotype" w:hAnsi="Palatino Linotype" w:cs="Arial"/>
          <w:sz w:val="24"/>
          <w:szCs w:val="24"/>
        </w:rPr>
        <w:t>Cabe señalar que, el Pleno de este Órgano Garante, ha sostenido que cuando se está ante la presencia de un acto u</w:t>
      </w:r>
      <w:r w:rsidR="00462956">
        <w:rPr>
          <w:rFonts w:ascii="Palatino Linotype" w:hAnsi="Palatino Linotype" w:cs="Arial"/>
          <w:sz w:val="24"/>
          <w:szCs w:val="24"/>
        </w:rPr>
        <w:t>n</w:t>
      </w:r>
      <w:bookmarkStart w:id="0" w:name="_GoBack"/>
      <w:bookmarkEnd w:id="0"/>
      <w:r w:rsidRPr="00642404">
        <w:rPr>
          <w:rFonts w:ascii="Palatino Linotype" w:hAnsi="Palatino Linotype" w:cs="Arial"/>
          <w:sz w:val="24"/>
          <w:szCs w:val="24"/>
        </w:rPr>
        <w:t xml:space="preserve"> hecho negativo, es decir, que no se actualiza la circunstancia por la cual el Sujeto Obligado en el ámbito de sus atribuciones, pudiese poseer en sus archivos la información solicitada, resultaría innecesaria una declaratoria de inexistencia  en términos de la fracción XIII del artículo 49 de la Ley de Acceso a la Información de esta entidad federativa, y ante un hecho negativo resultan aplicables las siguientes tesis:</w:t>
      </w:r>
    </w:p>
    <w:p w:rsidR="00642404" w:rsidRPr="00924572" w:rsidRDefault="00642404" w:rsidP="00642404">
      <w:pPr>
        <w:tabs>
          <w:tab w:val="left" w:pos="8222"/>
        </w:tabs>
        <w:ind w:left="851" w:right="899"/>
        <w:jc w:val="both"/>
        <w:rPr>
          <w:rFonts w:ascii="Palatino Linotype" w:hAnsi="Palatino Linotype"/>
          <w:i/>
        </w:rPr>
      </w:pPr>
      <w:r w:rsidRPr="00924572">
        <w:rPr>
          <w:rFonts w:ascii="Palatino Linotype" w:hAnsi="Palatino Linotype"/>
          <w:b/>
          <w:i/>
        </w:rPr>
        <w:lastRenderedPageBreak/>
        <w:t>“INEXISTENCIA DE LA INFORMACIÓN. EL COMITÉ DE ACCESO A LA INFORMACIÓN PUEDE DECLARARLA ANTE SU EVIDENCIA, SIN NECESIDAD DE DICTAR MEDIDAS PARA SU LOCALIZACIÓN.</w:t>
      </w:r>
      <w:r w:rsidRPr="00924572">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924572">
        <w:rPr>
          <w:rFonts w:ascii="Palatino Linotype" w:hAnsi="Palatino Linotype"/>
          <w:b/>
          <w:i/>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924572">
        <w:rPr>
          <w:rFonts w:ascii="Palatino Linotype" w:hAnsi="Palatino Linotype"/>
          <w:i/>
        </w:rPr>
        <w:t>.</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Clasificación de Información 35/2004-J, deriva de la solicitud de acceso a la información de Daniel Lizárraga Méndez.- 15 de noviembre de 2004.- Unanimidad de votos”.</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No. Registro: 267,287</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Tesis aislada</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Materia(s): Común</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Sexta Época</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Instancia: Segunda Sala</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Fuente: Semanario Judicial de la Federación Tercera Parte, LII</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t xml:space="preserve">Tesis: </w:t>
      </w:r>
    </w:p>
    <w:p w:rsidR="00642404" w:rsidRPr="00924572" w:rsidRDefault="00642404" w:rsidP="00642404">
      <w:pPr>
        <w:tabs>
          <w:tab w:val="left" w:pos="8222"/>
        </w:tabs>
        <w:ind w:left="851" w:right="899"/>
        <w:jc w:val="both"/>
        <w:rPr>
          <w:rFonts w:ascii="Palatino Linotype" w:hAnsi="Palatino Linotype"/>
        </w:rPr>
      </w:pPr>
      <w:r w:rsidRPr="00924572">
        <w:rPr>
          <w:rFonts w:ascii="Palatino Linotype" w:hAnsi="Palatino Linotype"/>
        </w:rPr>
        <w:lastRenderedPageBreak/>
        <w:t>Página: 101</w:t>
      </w:r>
    </w:p>
    <w:p w:rsidR="00642404" w:rsidRPr="00B67F53" w:rsidRDefault="00642404" w:rsidP="00642404">
      <w:pPr>
        <w:tabs>
          <w:tab w:val="left" w:pos="8222"/>
        </w:tabs>
        <w:ind w:left="851" w:right="899"/>
        <w:jc w:val="both"/>
        <w:rPr>
          <w:rFonts w:ascii="Palatino Linotype" w:hAnsi="Palatino Linotype"/>
          <w:b/>
          <w:i/>
          <w:sz w:val="20"/>
        </w:rPr>
      </w:pPr>
    </w:p>
    <w:p w:rsidR="00642404" w:rsidRPr="00924572" w:rsidRDefault="00642404" w:rsidP="00642404">
      <w:pPr>
        <w:tabs>
          <w:tab w:val="left" w:pos="8222"/>
        </w:tabs>
        <w:ind w:left="851" w:right="899"/>
        <w:jc w:val="both"/>
        <w:rPr>
          <w:rFonts w:ascii="Palatino Linotype" w:hAnsi="Palatino Linotype"/>
          <w:i/>
        </w:rPr>
      </w:pPr>
      <w:r w:rsidRPr="00924572">
        <w:rPr>
          <w:rFonts w:ascii="Palatino Linotype" w:hAnsi="Palatino Linotype"/>
          <w:b/>
          <w:i/>
        </w:rPr>
        <w:t xml:space="preserve">HECHOS NEGATIVOS, NO SON SUSCEPTIBLES DE DEMOSTRACION. </w:t>
      </w:r>
      <w:r w:rsidRPr="00924572">
        <w:rPr>
          <w:rFonts w:ascii="Palatino Linotype" w:hAnsi="Palatino Linotype"/>
          <w:i/>
        </w:rPr>
        <w:t xml:space="preserve">Tratándose de un hecho negativo, el Juez no tiene </w:t>
      </w:r>
      <w:proofErr w:type="spellStart"/>
      <w:r w:rsidRPr="00924572">
        <w:rPr>
          <w:rFonts w:ascii="Palatino Linotype" w:hAnsi="Palatino Linotype"/>
          <w:i/>
        </w:rPr>
        <w:t>por que</w:t>
      </w:r>
      <w:proofErr w:type="spellEnd"/>
      <w:r w:rsidRPr="00924572">
        <w:rPr>
          <w:rFonts w:ascii="Palatino Linotype" w:hAnsi="Palatino Linotype"/>
          <w:i/>
        </w:rPr>
        <w:t xml:space="preserve"> invocar prueba alguna de la que se desprenda, ya que es bien sabido que esta clase de hechos no son susceptibles de demostración.</w:t>
      </w:r>
    </w:p>
    <w:p w:rsidR="00642404" w:rsidRPr="00924572" w:rsidRDefault="00642404" w:rsidP="00642404">
      <w:pPr>
        <w:tabs>
          <w:tab w:val="left" w:pos="8222"/>
        </w:tabs>
        <w:ind w:left="851" w:right="899"/>
        <w:jc w:val="both"/>
        <w:rPr>
          <w:rFonts w:ascii="Palatino Linotype" w:hAnsi="Palatino Linotype"/>
          <w:b/>
        </w:rPr>
      </w:pPr>
      <w:r w:rsidRPr="00924572">
        <w:rPr>
          <w:rFonts w:ascii="Palatino Linotype" w:hAnsi="Palatino Linotype"/>
        </w:rPr>
        <w:t>Amparo en revisión 2022/61. José García Florín (Menor). 9 de octubre de 1961. Cinco votos. Ponente: José Rivera Pérez Campos.</w:t>
      </w:r>
      <w:r w:rsidRPr="00924572">
        <w:rPr>
          <w:rFonts w:ascii="Palatino Linotype" w:hAnsi="Palatino Linotype"/>
          <w:b/>
        </w:rPr>
        <w:t>”</w:t>
      </w:r>
    </w:p>
    <w:p w:rsidR="00642404" w:rsidRPr="00B67F53" w:rsidRDefault="00642404" w:rsidP="00642404">
      <w:pPr>
        <w:spacing w:line="360" w:lineRule="auto"/>
        <w:ind w:left="851" w:right="1134"/>
        <w:jc w:val="both"/>
        <w:rPr>
          <w:rFonts w:ascii="Palatino Linotype" w:hAnsi="Palatino Linotype"/>
          <w:b/>
          <w:sz w:val="20"/>
        </w:rPr>
      </w:pPr>
    </w:p>
    <w:p w:rsidR="00642404" w:rsidRDefault="00642404" w:rsidP="00642404">
      <w:pPr>
        <w:spacing w:after="0" w:line="360" w:lineRule="auto"/>
        <w:jc w:val="both"/>
        <w:rPr>
          <w:rFonts w:ascii="Palatino Linotype" w:hAnsi="Palatino Linotype"/>
          <w:sz w:val="24"/>
          <w:szCs w:val="24"/>
        </w:rPr>
      </w:pPr>
      <w:r>
        <w:rPr>
          <w:rFonts w:ascii="Palatino Linotype" w:hAnsi="Palatino Linotype"/>
          <w:sz w:val="24"/>
          <w:szCs w:val="24"/>
        </w:rPr>
        <w:t>Es por lo antes descrito que esta Ponencia considera que los resolutivos deben contener los puntos específicos, con la finalidad de que tanto el Sujeto Obligado, así como el Recurrente cuente con los puntos necesarios, para que ninguna de las partes quede en estado de indefensión.</w:t>
      </w:r>
    </w:p>
    <w:p w:rsidR="00642404" w:rsidRDefault="00642404" w:rsidP="00AC0505">
      <w:pPr>
        <w:spacing w:after="0" w:line="360" w:lineRule="auto"/>
        <w:jc w:val="both"/>
        <w:rPr>
          <w:rFonts w:ascii="Palatino Linotype" w:hAnsi="Palatino Linotype"/>
          <w:sz w:val="24"/>
          <w:szCs w:val="24"/>
        </w:rPr>
      </w:pPr>
    </w:p>
    <w:p w:rsidR="00AC0505" w:rsidRDefault="00AC0505" w:rsidP="00AC0505">
      <w:pPr>
        <w:spacing w:after="0" w:line="360" w:lineRule="auto"/>
        <w:jc w:val="both"/>
        <w:rPr>
          <w:rFonts w:ascii="Palatino Linotype" w:hAnsi="Palatino Linotype"/>
          <w:sz w:val="24"/>
          <w:szCs w:val="24"/>
        </w:rPr>
      </w:pPr>
    </w:p>
    <w:p w:rsidR="0063397A" w:rsidRDefault="0063397A" w:rsidP="00AC0505">
      <w:pPr>
        <w:spacing w:after="0" w:line="360" w:lineRule="auto"/>
        <w:jc w:val="both"/>
        <w:rPr>
          <w:rFonts w:ascii="Palatino Linotype" w:hAnsi="Palatino Linotype"/>
          <w:sz w:val="24"/>
          <w:szCs w:val="24"/>
        </w:rPr>
      </w:pPr>
    </w:p>
    <w:p w:rsidR="0063397A" w:rsidRDefault="0063397A" w:rsidP="00AC0505">
      <w:pPr>
        <w:spacing w:after="0" w:line="360" w:lineRule="auto"/>
        <w:jc w:val="both"/>
        <w:rPr>
          <w:rFonts w:ascii="Palatino Linotype" w:hAnsi="Palatino Linotype"/>
          <w:sz w:val="24"/>
          <w:szCs w:val="24"/>
        </w:rPr>
      </w:pPr>
    </w:p>
    <w:p w:rsidR="00AC0505" w:rsidRDefault="00AC0505" w:rsidP="0063397A">
      <w:pPr>
        <w:spacing w:after="0" w:line="240" w:lineRule="auto"/>
        <w:jc w:val="center"/>
        <w:rPr>
          <w:rFonts w:ascii="Palatino Linotype" w:hAnsi="Palatino Linotype"/>
          <w:b/>
          <w:sz w:val="28"/>
          <w:szCs w:val="28"/>
        </w:rPr>
      </w:pPr>
      <w:r w:rsidRPr="003F3117">
        <w:rPr>
          <w:rFonts w:ascii="Palatino Linotype" w:hAnsi="Palatino Linotype"/>
          <w:b/>
          <w:sz w:val="28"/>
          <w:szCs w:val="28"/>
        </w:rPr>
        <w:t>Zulema Martínez Sánchez</w:t>
      </w:r>
      <w:r>
        <w:rPr>
          <w:rFonts w:ascii="Palatino Linotype" w:hAnsi="Palatino Linotype"/>
          <w:b/>
          <w:sz w:val="28"/>
          <w:szCs w:val="28"/>
        </w:rPr>
        <w:t xml:space="preserve">                        </w:t>
      </w:r>
    </w:p>
    <w:p w:rsidR="0063397A" w:rsidRDefault="00AC0505" w:rsidP="0063397A">
      <w:pPr>
        <w:spacing w:after="0" w:line="240" w:lineRule="auto"/>
        <w:jc w:val="center"/>
        <w:rPr>
          <w:rFonts w:ascii="Palatino Linotype" w:hAnsi="Palatino Linotype"/>
          <w:b/>
          <w:sz w:val="24"/>
          <w:szCs w:val="24"/>
        </w:rPr>
      </w:pPr>
      <w:r>
        <w:rPr>
          <w:rFonts w:ascii="Palatino Linotype" w:hAnsi="Palatino Linotype"/>
          <w:b/>
          <w:sz w:val="24"/>
          <w:szCs w:val="24"/>
        </w:rPr>
        <w:t>Comisionada</w:t>
      </w:r>
      <w:r w:rsidR="0063397A">
        <w:rPr>
          <w:rFonts w:ascii="Palatino Linotype" w:hAnsi="Palatino Linotype"/>
          <w:b/>
          <w:sz w:val="24"/>
          <w:szCs w:val="24"/>
        </w:rPr>
        <w:t xml:space="preserve"> Presidenta</w:t>
      </w:r>
    </w:p>
    <w:p w:rsidR="0063397A" w:rsidRDefault="0063397A" w:rsidP="0063397A">
      <w:pPr>
        <w:spacing w:after="0" w:line="240" w:lineRule="auto"/>
        <w:jc w:val="center"/>
        <w:rPr>
          <w:rFonts w:ascii="Palatino Linotype" w:hAnsi="Palatino Linotype"/>
          <w:sz w:val="20"/>
          <w:szCs w:val="20"/>
        </w:rPr>
      </w:pPr>
    </w:p>
    <w:p w:rsidR="0074096C" w:rsidRDefault="0074096C" w:rsidP="0063397A">
      <w:pPr>
        <w:spacing w:after="0" w:line="240" w:lineRule="auto"/>
        <w:jc w:val="center"/>
        <w:rPr>
          <w:rFonts w:ascii="Palatino Linotype" w:hAnsi="Palatino Linotype"/>
          <w:sz w:val="20"/>
          <w:szCs w:val="20"/>
        </w:rPr>
      </w:pPr>
    </w:p>
    <w:p w:rsidR="00642404" w:rsidRDefault="00642404" w:rsidP="0063397A">
      <w:pPr>
        <w:spacing w:after="0" w:line="240" w:lineRule="auto"/>
        <w:jc w:val="center"/>
        <w:rPr>
          <w:rFonts w:ascii="Palatino Linotype" w:hAnsi="Palatino Linotype"/>
          <w:sz w:val="20"/>
          <w:szCs w:val="20"/>
        </w:rPr>
      </w:pPr>
    </w:p>
    <w:p w:rsidR="00B67F53" w:rsidRDefault="0063397A" w:rsidP="00AC0505">
      <w:pPr>
        <w:spacing w:after="0" w:line="240" w:lineRule="auto"/>
        <w:jc w:val="both"/>
        <w:rPr>
          <w:rFonts w:ascii="Palatino Linotype" w:hAnsi="Palatino Linotype"/>
          <w:sz w:val="20"/>
          <w:szCs w:val="20"/>
        </w:rPr>
      </w:pPr>
      <w:r>
        <w:rPr>
          <w:rFonts w:ascii="Palatino Linotype" w:hAnsi="Palatino Linotype"/>
          <w:sz w:val="20"/>
          <w:szCs w:val="20"/>
        </w:rPr>
        <w:t>E</w:t>
      </w:r>
      <w:r w:rsidR="00AC0505" w:rsidRPr="00862BD4">
        <w:rPr>
          <w:rFonts w:ascii="Palatino Linotype" w:hAnsi="Palatino Linotype"/>
          <w:sz w:val="20"/>
          <w:szCs w:val="20"/>
        </w:rPr>
        <w:t>sta hoja corresponde al voto particular emitida en el recurso de revisión 0</w:t>
      </w:r>
      <w:r w:rsidR="00642404">
        <w:rPr>
          <w:rFonts w:ascii="Palatino Linotype" w:hAnsi="Palatino Linotype"/>
          <w:sz w:val="20"/>
          <w:szCs w:val="20"/>
        </w:rPr>
        <w:t>2607</w:t>
      </w:r>
      <w:r w:rsidR="0074096C">
        <w:rPr>
          <w:rFonts w:ascii="Palatino Linotype" w:hAnsi="Palatino Linotype"/>
          <w:sz w:val="20"/>
          <w:szCs w:val="20"/>
        </w:rPr>
        <w:t>/INFOEM/IP/RR/2018</w:t>
      </w:r>
      <w:r>
        <w:rPr>
          <w:rFonts w:ascii="Palatino Linotype" w:hAnsi="Palatino Linotype"/>
          <w:sz w:val="20"/>
          <w:szCs w:val="20"/>
        </w:rPr>
        <w:t xml:space="preserve"> </w:t>
      </w:r>
      <w:r w:rsidR="00AC0505" w:rsidRPr="00862BD4">
        <w:rPr>
          <w:rFonts w:ascii="Palatino Linotype" w:hAnsi="Palatino Linotype"/>
          <w:sz w:val="20"/>
          <w:szCs w:val="20"/>
        </w:rPr>
        <w:t xml:space="preserve">aprobado en fecha </w:t>
      </w:r>
      <w:r w:rsidR="00AC5A00">
        <w:rPr>
          <w:rFonts w:ascii="Palatino Linotype" w:hAnsi="Palatino Linotype"/>
          <w:sz w:val="20"/>
          <w:szCs w:val="20"/>
        </w:rPr>
        <w:t>veintinueve de agosto</w:t>
      </w:r>
      <w:r>
        <w:rPr>
          <w:rFonts w:ascii="Palatino Linotype" w:hAnsi="Palatino Linotype"/>
          <w:sz w:val="20"/>
          <w:szCs w:val="20"/>
        </w:rPr>
        <w:t xml:space="preserve"> de dos mil dieciocho</w:t>
      </w:r>
      <w:r w:rsidR="00AC0505" w:rsidRPr="00862BD4">
        <w:rPr>
          <w:rFonts w:ascii="Palatino Linotype" w:hAnsi="Palatino Linotype"/>
          <w:sz w:val="20"/>
          <w:szCs w:val="20"/>
        </w:rPr>
        <w:t>.</w:t>
      </w:r>
    </w:p>
    <w:p w:rsidR="00AC0505" w:rsidRPr="004F7EC3" w:rsidRDefault="0063397A" w:rsidP="00AC0505">
      <w:pPr>
        <w:spacing w:after="0" w:line="240" w:lineRule="auto"/>
        <w:jc w:val="both"/>
        <w:rPr>
          <w:rFonts w:ascii="Palatino Linotype" w:hAnsi="Palatino Linotype"/>
          <w:sz w:val="16"/>
          <w:szCs w:val="16"/>
        </w:rPr>
      </w:pPr>
      <w:r>
        <w:rPr>
          <w:rFonts w:ascii="Palatino Linotype" w:hAnsi="Palatino Linotype"/>
          <w:sz w:val="20"/>
          <w:szCs w:val="20"/>
        </w:rPr>
        <w:t>OSAM/MOC</w:t>
      </w:r>
    </w:p>
    <w:p w:rsidR="002A5ADD" w:rsidRDefault="002A5ADD"/>
    <w:sectPr w:rsidR="002A5ADD" w:rsidSect="002E001E">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763" w:rsidRDefault="006A0763" w:rsidP="00AC0505">
      <w:pPr>
        <w:spacing w:after="0" w:line="240" w:lineRule="auto"/>
      </w:pPr>
      <w:r>
        <w:separator/>
      </w:r>
    </w:p>
  </w:endnote>
  <w:endnote w:type="continuationSeparator" w:id="0">
    <w:p w:rsidR="006A0763" w:rsidRDefault="006A0763"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Pr="006C50A8" w:rsidRDefault="00052AAA" w:rsidP="002E001E">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462956">
      <w:rPr>
        <w:rFonts w:ascii="Palatino Linotype" w:hAnsi="Palatino Linotype" w:cs="Arial"/>
        <w:b/>
        <w:bCs/>
        <w:noProof/>
        <w:sz w:val="22"/>
        <w:szCs w:val="22"/>
      </w:rPr>
      <w:t>4</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462956">
      <w:rPr>
        <w:rFonts w:ascii="Palatino Linotype" w:hAnsi="Palatino Linotype" w:cs="Arial"/>
        <w:b/>
        <w:bCs/>
        <w:noProof/>
        <w:sz w:val="22"/>
        <w:szCs w:val="22"/>
      </w:rPr>
      <w:t>5</w:t>
    </w:r>
    <w:r w:rsidRPr="006C50A8">
      <w:rPr>
        <w:rFonts w:ascii="Palatino Linotype" w:hAnsi="Palatino Linotype" w:cs="Arial"/>
        <w:b/>
        <w:bCs/>
        <w:sz w:val="22"/>
        <w:szCs w:val="22"/>
      </w:rPr>
      <w:fldChar w:fldCharType="end"/>
    </w:r>
  </w:p>
  <w:p w:rsidR="002E001E" w:rsidRDefault="002E001E" w:rsidP="002E001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763" w:rsidRDefault="006A0763" w:rsidP="00AC0505">
      <w:pPr>
        <w:spacing w:after="0" w:line="240" w:lineRule="auto"/>
      </w:pPr>
      <w:r>
        <w:separator/>
      </w:r>
    </w:p>
  </w:footnote>
  <w:footnote w:type="continuationSeparator" w:id="0">
    <w:p w:rsidR="006A0763" w:rsidRDefault="006A0763"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6A0763" w:rsidP="002E001E">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arto="http://schemas.microsoft.com/office/word/2006/arto"/>
                    </a:ext>
                  </a:extLst>
                </pic:spPr>
              </pic:pic>
            </a:graphicData>
          </a:graphic>
          <wp14:sizeRelH relativeFrom="page">
            <wp14:pctWidth>0</wp14:pctWidth>
          </wp14:sizeRelH>
          <wp14:sizeRelV relativeFrom="page">
            <wp14:pctHeight>0</wp14:pctHeight>
          </wp14:sizeRelV>
        </wp:anchor>
      </w:drawing>
    </w:r>
  </w:p>
  <w:p w:rsidR="002E001E" w:rsidRDefault="002E001E" w:rsidP="002E001E">
    <w:pPr>
      <w:pStyle w:val="Encabezado"/>
      <w:jc w:val="right"/>
      <w:rPr>
        <w:rFonts w:ascii="Arial" w:hAnsi="Arial" w:cs="Arial"/>
        <w:sz w:val="20"/>
        <w:szCs w:val="20"/>
      </w:rPr>
    </w:pPr>
  </w:p>
  <w:p w:rsidR="002E001E" w:rsidRDefault="002E001E" w:rsidP="002E001E">
    <w:pPr>
      <w:pStyle w:val="Encabezado"/>
      <w:jc w:val="right"/>
      <w:rPr>
        <w:rFonts w:ascii="Arial" w:hAnsi="Arial" w:cs="Arial"/>
        <w:sz w:val="20"/>
        <w:szCs w:val="20"/>
      </w:rPr>
    </w:pPr>
  </w:p>
  <w:p w:rsidR="002E001E" w:rsidRPr="00563D0F" w:rsidRDefault="00052AAA" w:rsidP="002E001E">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2E001E" w:rsidRPr="00563D0F" w:rsidRDefault="00052AAA" w:rsidP="002E001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3135DD">
      <w:rPr>
        <w:rFonts w:ascii="Palatino Linotype" w:hAnsi="Palatino Linotype" w:cs="Arial"/>
        <w:b/>
        <w:sz w:val="20"/>
        <w:szCs w:val="20"/>
      </w:rPr>
      <w:t>2607</w:t>
    </w:r>
    <w:r w:rsidRPr="00897E24">
      <w:rPr>
        <w:rFonts w:ascii="Palatino Linotype" w:hAnsi="Palatino Linotype" w:cs="Arial"/>
        <w:b/>
        <w:sz w:val="20"/>
        <w:szCs w:val="20"/>
      </w:rPr>
      <w:t>/INFOEM/IP/RR/201</w:t>
    </w:r>
    <w:r w:rsidR="00D90C80">
      <w:rPr>
        <w:rFonts w:ascii="Palatino Linotype" w:hAnsi="Palatino Linotype" w:cs="Arial"/>
        <w:b/>
        <w:sz w:val="20"/>
        <w:szCs w:val="20"/>
      </w:rPr>
      <w:t>8</w:t>
    </w:r>
  </w:p>
  <w:p w:rsidR="002E001E" w:rsidRDefault="002E001E" w:rsidP="002E001E">
    <w:pPr>
      <w:pStyle w:val="Encabezado"/>
      <w:jc w:val="right"/>
      <w:rPr>
        <w:rFonts w:ascii="Palatino Linotype" w:hAnsi="Palatino Linotype" w:cs="Arial"/>
        <w:sz w:val="20"/>
        <w:szCs w:val="20"/>
      </w:rPr>
    </w:pPr>
  </w:p>
  <w:p w:rsidR="002E001E" w:rsidRDefault="002E001E" w:rsidP="002E001E">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9400C"/>
    <w:rsid w:val="000C6D18"/>
    <w:rsid w:val="00147433"/>
    <w:rsid w:val="001C51EC"/>
    <w:rsid w:val="00212A35"/>
    <w:rsid w:val="0024254B"/>
    <w:rsid w:val="002562E3"/>
    <w:rsid w:val="002A5ADD"/>
    <w:rsid w:val="002E001E"/>
    <w:rsid w:val="002F722D"/>
    <w:rsid w:val="003135DD"/>
    <w:rsid w:val="00462956"/>
    <w:rsid w:val="00465B59"/>
    <w:rsid w:val="004C4149"/>
    <w:rsid w:val="005A0F44"/>
    <w:rsid w:val="005E7047"/>
    <w:rsid w:val="0063397A"/>
    <w:rsid w:val="00642404"/>
    <w:rsid w:val="00673A34"/>
    <w:rsid w:val="006A0763"/>
    <w:rsid w:val="007379EC"/>
    <w:rsid w:val="0074096C"/>
    <w:rsid w:val="00786579"/>
    <w:rsid w:val="008110A9"/>
    <w:rsid w:val="009F1838"/>
    <w:rsid w:val="00A36DBB"/>
    <w:rsid w:val="00A66E63"/>
    <w:rsid w:val="00A84700"/>
    <w:rsid w:val="00AC0505"/>
    <w:rsid w:val="00AC5A00"/>
    <w:rsid w:val="00AE3336"/>
    <w:rsid w:val="00AF2AFE"/>
    <w:rsid w:val="00B007B7"/>
    <w:rsid w:val="00B67F53"/>
    <w:rsid w:val="00B75113"/>
    <w:rsid w:val="00C00A80"/>
    <w:rsid w:val="00C81AF0"/>
    <w:rsid w:val="00D2657A"/>
    <w:rsid w:val="00D90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885485-FF3C-40D7-A444-2E4667FC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styleId="Textonotapie">
    <w:name w:val="footnote text"/>
    <w:basedOn w:val="Normal"/>
    <w:link w:val="TextonotapieCar"/>
    <w:uiPriority w:val="99"/>
    <w:semiHidden/>
    <w:unhideWhenUsed/>
    <w:rsid w:val="00AE33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3336"/>
    <w:rPr>
      <w:sz w:val="20"/>
      <w:szCs w:val="20"/>
    </w:rPr>
  </w:style>
  <w:style w:type="character" w:styleId="Refdenotaalpie">
    <w:name w:val="footnote reference"/>
    <w:basedOn w:val="Fuentedeprrafopredeter"/>
    <w:uiPriority w:val="99"/>
    <w:semiHidden/>
    <w:unhideWhenUsed/>
    <w:rsid w:val="00AE3336"/>
    <w:rPr>
      <w:vertAlign w:val="superscript"/>
    </w:rPr>
  </w:style>
  <w:style w:type="character" w:styleId="Hipervnculo">
    <w:name w:val="Hyperlink"/>
    <w:basedOn w:val="Fuentedeprrafopredeter"/>
    <w:uiPriority w:val="99"/>
    <w:unhideWhenUsed/>
    <w:rsid w:val="00AF2A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990</Words>
  <Characters>5450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2018-09-03T19:27:00Z</cp:lastPrinted>
  <dcterms:created xsi:type="dcterms:W3CDTF">2018-02-16T17:47:00Z</dcterms:created>
  <dcterms:modified xsi:type="dcterms:W3CDTF">2018-09-03T23:46:00Z</dcterms:modified>
</cp:coreProperties>
</file>